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68" w:rsidRPr="00F45A73" w:rsidRDefault="00636E68">
      <w:pPr>
        <w:pStyle w:val="Ch69"/>
        <w:pageBreakBefore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8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Авіаційних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Частина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«Сертифікація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суден,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пов’язаних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компонентів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АПУ-21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636E68" w:rsidRPr="00F45A73" w:rsidRDefault="00636E68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52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36"/>
        <w:gridCol w:w="2435"/>
        <w:gridCol w:w="2432"/>
        <w:gridCol w:w="2739"/>
      </w:tblGrid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СУДНА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STATEMENT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CONFORMITY</w:t>
            </w:r>
          </w:p>
        </w:tc>
      </w:tr>
      <w:tr w:rsidR="00636E68" w:rsidRPr="00F45A73" w:rsidTr="00F9707F">
        <w:trPr>
          <w:trHeight w:val="60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smartTag w:uri="urn:schemas-microsoft-com:office:smarttags" w:element="place">
              <w:smartTag w:uri="urn:schemas-microsoft-com:office:smarttags" w:element="country-region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[COMPETENT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AUTHORITY]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№: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Statement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</w:p>
        </w:tc>
      </w:tr>
      <w:tr w:rsidR="00636E68" w:rsidRPr="00F45A73" w:rsidTr="00F9707F">
        <w:trPr>
          <w:trHeight w:val="6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Type-certificate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Refs</w:t>
            </w:r>
          </w:p>
        </w:tc>
      </w:tr>
      <w:tr w:rsidR="00636E68" w:rsidRPr="00F45A73" w:rsidTr="00F9707F">
        <w:trPr>
          <w:trHeight w:val="6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Mark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Identification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гвинт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(*)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Engine/Propeller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Details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Модифікації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ервісні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бюлетені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(*)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Modifications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and/or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Bulletins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Директиви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Directives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Concessions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Винятки,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Exemptions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Waivers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Derogations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Remarks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4D48EE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Airworthiness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Additional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Requirements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Statement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Conformity</w:t>
            </w:r>
          </w:p>
          <w:p w:rsidR="00636E68" w:rsidRPr="00F45A73" w:rsidRDefault="00636E68">
            <w:pPr>
              <w:spacing w:after="0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засвідчується,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вказане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типовій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наведеним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36E68" w:rsidRPr="00F45A73" w:rsidRDefault="00636E6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стані,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безпечної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експлуатації.</w:t>
            </w:r>
          </w:p>
          <w:p w:rsidR="00636E68" w:rsidRPr="00F45A73" w:rsidRDefault="00636E6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льотних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випробувань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задовільні.</w:t>
            </w:r>
          </w:p>
          <w:p w:rsidR="00636E68" w:rsidRPr="00F45A73" w:rsidRDefault="00636E68">
            <w:pPr>
              <w:spacing w:after="0"/>
              <w:ind w:left="22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hereby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confirms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type-certificated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design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items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above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reet">
              <w:smartTag w:uri="urn:schemas-microsoft-com:office:smarttags" w:element="Street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  <w:t>boxes</w:t>
                </w:r>
              </w:smartTag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r w:rsidRPr="00F45A73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9</w:t>
              </w:r>
            </w:smartTag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11,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</w:t>
            </w:r>
          </w:p>
          <w:p w:rsidR="00636E68" w:rsidRPr="00F45A73" w:rsidRDefault="00636E68">
            <w:pPr>
              <w:spacing w:after="0"/>
              <w:ind w:left="22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condition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safe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operation.</w:t>
            </w:r>
          </w:p>
          <w:p w:rsidR="00636E68" w:rsidRPr="00F45A73" w:rsidRDefault="00636E68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satisfactorily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tested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flight.</w:t>
            </w:r>
          </w:p>
        </w:tc>
      </w:tr>
      <w:tr w:rsidR="00636E68" w:rsidRPr="00F45A73" w:rsidTr="00F9707F">
        <w:trPr>
          <w:trHeight w:val="469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ім`я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A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рррр)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mmm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yyyy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36E68" w:rsidRPr="00F45A73" w:rsidTr="00F9707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36E68" w:rsidRPr="00F45A73" w:rsidRDefault="00636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Organisation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Reference</w:t>
            </w:r>
          </w:p>
        </w:tc>
      </w:tr>
    </w:tbl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36E68" w:rsidRDefault="00636E68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52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52</w:t>
      </w:r>
    </w:p>
    <w:p w:rsidR="00636E68" w:rsidRDefault="00636E68">
      <w:pPr>
        <w:pStyle w:val="Ch6f0"/>
        <w:jc w:val="left"/>
        <w:rPr>
          <w:rFonts w:ascii="Times New Roman" w:hAnsi="Times New Roman" w:cs="Times New Roman"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Cs/>
          <w:w w:val="100"/>
          <w:sz w:val="24"/>
          <w:szCs w:val="24"/>
        </w:rPr>
        <w:t>__________</w:t>
      </w:r>
    </w:p>
    <w:p w:rsidR="00636E68" w:rsidRPr="002F3AE2" w:rsidRDefault="00636E68">
      <w:pPr>
        <w:pStyle w:val="Ch6f0"/>
        <w:jc w:val="left"/>
        <w:rPr>
          <w:rFonts w:ascii="Times New Roman" w:hAnsi="Times New Roman" w:cs="Times New Roman"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Cs/>
          <w:w w:val="100"/>
          <w:sz w:val="24"/>
          <w:szCs w:val="24"/>
        </w:rPr>
        <w:t>(*) Видалити, якщо доречно.</w:t>
      </w:r>
    </w:p>
    <w:p w:rsidR="00636E68" w:rsidRPr="00F45A73" w:rsidRDefault="00636E68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Вказівки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52</w:t>
      </w:r>
    </w:p>
    <w:p w:rsidR="00636E68" w:rsidRPr="00F45A73" w:rsidRDefault="00636E68">
      <w:pPr>
        <w:pStyle w:val="Ch6a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мета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1.1.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(заява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ність),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виробником,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виробляє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продукцію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глави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F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описано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параграфі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A.130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застосовних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прийнятних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методах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ності.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1.2.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Метою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глави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утримувачу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користуватися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повн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важенням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отримання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окремого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петентного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органу.</w:t>
      </w:r>
    </w:p>
    <w:p w:rsidR="00636E68" w:rsidRPr="00F45A73" w:rsidRDefault="00636E68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Загальні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положення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2.1.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повинна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наведеному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включаючи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номери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розташування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кожного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блока.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Однак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розмір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кожного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різнитися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залежно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стосування,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але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було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розпізнати.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сумніву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слід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консультуватися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компетентним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органом.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2.2.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повинна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вигляді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друкованого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бланка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згенерованою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комп’ютері,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але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будь-якому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всі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контури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символи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повинні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чіткими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розбірливими.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Дозволяється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заздалегідь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роздруковувати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текст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згідно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наданою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52,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проте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інші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каційні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друкувати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дозволяється.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2.3.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Заповнювати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комп’ютері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руки,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використовуючи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друковані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літери,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полегшить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читання.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видається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українською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мовою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дублюванням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англійською.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2.4.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Копія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всі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додатки,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посилання,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повинні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зберігатися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леною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виробника.</w:t>
      </w:r>
    </w:p>
    <w:p w:rsidR="00636E68" w:rsidRPr="00F45A73" w:rsidRDefault="00636E68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Заповнення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особою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3.1.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заповнені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всі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блоки.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3.2.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надана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компетентному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ст­рукцію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встановлені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ньому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вироби.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3.3.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Інформація,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необхідно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навести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пунктах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9–14,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представлена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посиланням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окремі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ідентифіковані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документи,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зберігаються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справі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тентним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узгоджено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інше.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3.4.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призначена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включення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елементів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установлення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необхідним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задоволення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застосовним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експлуатаційним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вимогам.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Однак,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деякі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окремих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елементів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включено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10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типової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конструкції.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експлуатантам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нагадують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відповідальність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забезпечення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дотрима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застосовним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експлуатаційним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вимогам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конкретного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експлуатації.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Блок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компетентний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Специфічний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порядковий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повинен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попередньо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надрукований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цьому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простежуваності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Винятком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ситуація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комп’ютеризованого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документа,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виникає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потреби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попереднього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друкування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номера,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комп’ютер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запр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грамований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друк.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місцезнаходження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подає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ність.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Цей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попередньо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роздрукований.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Логотипи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дозволяються,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лог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тип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розмістити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межах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блоку.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визначено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реліку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даних.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Номери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конкретного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зареєстровано,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реєстраційним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позначенням.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зареєстровано,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приймається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компетентним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органом.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Ідентифікаційний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номер,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простежуваності,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супроводження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інколи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посилаються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«заводський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номер».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Тип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(типи)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двигуна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гвинта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повністю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визначено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переліку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даних.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ідентифікаційний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номер,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виробником,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місцезнаходження.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визначеного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усіх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застосовних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директив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еквівалентів)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разом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описом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методу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досягнення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окремого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конкретного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включаючи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встановлені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компоненти,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прилади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Слід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строки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майбутніх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забезпечення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відповідності.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ненавмисне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відхилення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типової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конструкції,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іноді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пос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поступку,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розбіжність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невідповідність.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лише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узгоджені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винятки,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виключення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відступи.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Додаткова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інформація.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Будь-яка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інформація,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спеціальні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обмеження,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можуть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впливати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інформації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має,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«ВІДСУТНЯ/NONE».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«Сертифікат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придатності»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«Обмежений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придатності»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запиту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придатності.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цьому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додаткові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вимоги,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повідомлені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державою-імпортером.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17.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Чинність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залежить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повноти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заповнення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усіх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блоків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форми.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Копію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звіту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випробування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разом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інформацією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будь-яку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зареєстровану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детальну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інформацію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дефектів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усунення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повинен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зберігати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утримувач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(POA).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Позитивний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звіт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підписувати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персонал,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проводить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цію,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член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екіпажу,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наприклад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льотчик-випробувач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інженер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випроб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вань.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випробування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проводяться,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визначено,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якості,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встано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параграфі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A.139,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зокрема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підпункті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A.139(b)(1)(vi),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забезпечення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повіт­ряного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застосовним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проєктним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даним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знаходження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стані,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датному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безпечної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експлуатації.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впроваджених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наявних)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задоволення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питань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безпечної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експлуатації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зберігається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справі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утримувачем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(POA).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підписує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уповноважена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утримувачем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згідно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пунктом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A.145(d).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Використовувати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факсимільний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підпис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дозволяється.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прізвище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особи,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підписує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розбірливо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надрук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ваним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принтері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написаним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руки.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20.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підписання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відповідність.</w:t>
      </w:r>
    </w:p>
    <w:p w:rsidR="00636E68" w:rsidRPr="00F45A73" w:rsidRDefault="00636E68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b/>
          <w:bCs/>
          <w:w w:val="100"/>
          <w:sz w:val="24"/>
          <w:szCs w:val="24"/>
        </w:rPr>
        <w:t>21.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посилання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схвалення,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видане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компетентним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органом.</w:t>
      </w:r>
    </w:p>
    <w:sectPr w:rsidR="00636E68" w:rsidRPr="00F45A73" w:rsidSect="00C07835">
      <w:pgSz w:w="11907" w:h="16840" w:code="9"/>
      <w:pgMar w:top="567" w:right="567" w:bottom="567" w:left="1134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251595"/>
    <w:rsid w:val="002F3AE2"/>
    <w:rsid w:val="00354878"/>
    <w:rsid w:val="004D48EE"/>
    <w:rsid w:val="005161AF"/>
    <w:rsid w:val="0060427A"/>
    <w:rsid w:val="00636E68"/>
    <w:rsid w:val="006C2B69"/>
    <w:rsid w:val="007A3FEB"/>
    <w:rsid w:val="007D6F85"/>
    <w:rsid w:val="008D6AE8"/>
    <w:rsid w:val="00967807"/>
    <w:rsid w:val="00A5206B"/>
    <w:rsid w:val="00BF1381"/>
    <w:rsid w:val="00C07835"/>
    <w:rsid w:val="00DE5799"/>
    <w:rsid w:val="00E75AF7"/>
    <w:rsid w:val="00F3456C"/>
    <w:rsid w:val="00F453AC"/>
    <w:rsid w:val="00F45A73"/>
    <w:rsid w:val="00F9707F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AC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F453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F453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F453AC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F453AC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F453AC"/>
  </w:style>
  <w:style w:type="paragraph" w:customStyle="1" w:styleId="a3">
    <w:name w:val="Организация (Общие:Базовые)"/>
    <w:basedOn w:val="a"/>
    <w:uiPriority w:val="99"/>
    <w:rsid w:val="00F453AC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F453AC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F453AC"/>
  </w:style>
  <w:style w:type="paragraph" w:customStyle="1" w:styleId="a5">
    <w:name w:val="Тип акта (Общие:Базовые)"/>
    <w:basedOn w:val="a"/>
    <w:uiPriority w:val="99"/>
    <w:rsid w:val="00F453AC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F453AC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F453AC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F453AC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F453AC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F453AC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F453AC"/>
  </w:style>
  <w:style w:type="paragraph" w:customStyle="1" w:styleId="n7777">
    <w:name w:val="n7777 Название акта (Общие:Базовые)"/>
    <w:basedOn w:val="a"/>
    <w:uiPriority w:val="99"/>
    <w:rsid w:val="00F453AC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F453AC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F453AC"/>
  </w:style>
  <w:style w:type="paragraph" w:customStyle="1" w:styleId="n7777Ch2">
    <w:name w:val="n7777 Название акта (Ch_2 Президент)"/>
    <w:basedOn w:val="n7777Ch1"/>
    <w:next w:val="Ch2"/>
    <w:uiPriority w:val="99"/>
    <w:rsid w:val="00F453AC"/>
  </w:style>
  <w:style w:type="paragraph" w:customStyle="1" w:styleId="n7777Ch3">
    <w:name w:val="n7777 Название акта (Ch_3 Кабмін)"/>
    <w:basedOn w:val="n7777Ch2"/>
    <w:next w:val="Ch3"/>
    <w:uiPriority w:val="99"/>
    <w:rsid w:val="00F453AC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F453AC"/>
  </w:style>
  <w:style w:type="paragraph" w:customStyle="1" w:styleId="n7777Ch5">
    <w:name w:val="n7777 Название акта (Ch_5 Нацбанк)"/>
    <w:basedOn w:val="n7777Ch4"/>
    <w:next w:val="Ch5"/>
    <w:uiPriority w:val="99"/>
    <w:rsid w:val="00F453AC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F453AC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F453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F453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F453AC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F453AC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F453AC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F453AC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F453AC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F453AC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F453AC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F453AC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F453AC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F453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F453AC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F453AC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F453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F453AC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F453AC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F453AC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F453AC"/>
    <w:pPr>
      <w:keepNext/>
    </w:pPr>
  </w:style>
  <w:style w:type="paragraph" w:customStyle="1" w:styleId="af5">
    <w:name w:val="Додаток № (Общие)"/>
    <w:basedOn w:val="af0"/>
    <w:uiPriority w:val="99"/>
    <w:rsid w:val="00F453AC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F453AC"/>
    <w:pPr>
      <w:keepNext/>
    </w:pPr>
  </w:style>
  <w:style w:type="paragraph" w:customStyle="1" w:styleId="PrimitkiPRIMITKA">
    <w:name w:val="Primitki (PRIMITKA)"/>
    <w:basedOn w:val="a0"/>
    <w:uiPriority w:val="99"/>
    <w:rsid w:val="00F453AC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F453AC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F453AC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F453AC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F453AC"/>
  </w:style>
  <w:style w:type="paragraph" w:customStyle="1" w:styleId="af8">
    <w:name w:val="Раздел (Общие:Базовые)"/>
    <w:basedOn w:val="a"/>
    <w:uiPriority w:val="99"/>
    <w:rsid w:val="00F453AC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F453AC"/>
  </w:style>
  <w:style w:type="paragraph" w:customStyle="1" w:styleId="Ch6d">
    <w:name w:val="Простой подзаг (п/ж) курсив (Ch_6 Міністерства)"/>
    <w:basedOn w:val="Ch6a"/>
    <w:uiPriority w:val="99"/>
    <w:rsid w:val="00F453AC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F453AC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F453AC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F453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F453AC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F453AC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F453AC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F453AC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F453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F453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F453AC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453AC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F453AC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F453AC"/>
  </w:style>
  <w:style w:type="paragraph" w:customStyle="1" w:styleId="Ch2">
    <w:name w:val="Преамбула (Ch_2 Президент)"/>
    <w:basedOn w:val="ac"/>
    <w:next w:val="a"/>
    <w:uiPriority w:val="99"/>
    <w:rsid w:val="00F453AC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F453AC"/>
  </w:style>
  <w:style w:type="paragraph" w:customStyle="1" w:styleId="Ch4">
    <w:name w:val="Преамбула (Ch_4 Конституційний Суд)"/>
    <w:basedOn w:val="ac"/>
    <w:next w:val="a"/>
    <w:uiPriority w:val="99"/>
    <w:rsid w:val="00F453AC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F453AC"/>
  </w:style>
  <w:style w:type="paragraph" w:customStyle="1" w:styleId="af9">
    <w:name w:val="подпись: место"/>
    <w:aliases w:val="дата,№ (Общие:Базовые)"/>
    <w:basedOn w:val="a0"/>
    <w:uiPriority w:val="99"/>
    <w:rsid w:val="00F453AC"/>
  </w:style>
  <w:style w:type="paragraph" w:customStyle="1" w:styleId="2">
    <w:name w:val="подпись: место2"/>
    <w:aliases w:val="дата2,№ (Общие)"/>
    <w:basedOn w:val="af9"/>
    <w:uiPriority w:val="99"/>
    <w:rsid w:val="00F453AC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F453AC"/>
  </w:style>
  <w:style w:type="paragraph" w:customStyle="1" w:styleId="afa">
    <w:name w:val="Глава (Общие:Базовые)"/>
    <w:basedOn w:val="a"/>
    <w:uiPriority w:val="99"/>
    <w:rsid w:val="00F453AC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F453AC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F453AC"/>
  </w:style>
  <w:style w:type="paragraph" w:customStyle="1" w:styleId="Ch10">
    <w:name w:val="Раздел (Ch_1 Верховна Рада)"/>
    <w:basedOn w:val="af8"/>
    <w:next w:val="Ch11"/>
    <w:uiPriority w:val="99"/>
    <w:rsid w:val="00F453AC"/>
  </w:style>
  <w:style w:type="paragraph" w:customStyle="1" w:styleId="afc">
    <w:name w:val="Стаття (Общие:Базовые)"/>
    <w:basedOn w:val="a0"/>
    <w:uiPriority w:val="99"/>
    <w:rsid w:val="00F453AC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F453AC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F453AC"/>
  </w:style>
  <w:style w:type="paragraph" w:customStyle="1" w:styleId="afd">
    <w:name w:val="Стаття (Общие)"/>
    <w:basedOn w:val="afc"/>
    <w:uiPriority w:val="99"/>
    <w:rsid w:val="00F453AC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F453AC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F453AC"/>
    <w:rPr>
      <w:vertAlign w:val="superscript"/>
    </w:rPr>
  </w:style>
  <w:style w:type="character" w:customStyle="1" w:styleId="Bold">
    <w:name w:val="Bold"/>
    <w:uiPriority w:val="99"/>
    <w:rsid w:val="00F453AC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F453AC"/>
  </w:style>
  <w:style w:type="character" w:customStyle="1" w:styleId="bold0">
    <w:name w:val="bold"/>
    <w:uiPriority w:val="99"/>
    <w:rsid w:val="00F453AC"/>
    <w:rPr>
      <w:b/>
    </w:rPr>
  </w:style>
  <w:style w:type="character" w:customStyle="1" w:styleId="500">
    <w:name w:val="500"/>
    <w:uiPriority w:val="99"/>
    <w:rsid w:val="00F453AC"/>
  </w:style>
  <w:style w:type="character" w:customStyle="1" w:styleId="Postanovla">
    <w:name w:val="Postanovla"/>
    <w:uiPriority w:val="99"/>
    <w:rsid w:val="00F453AC"/>
  </w:style>
  <w:style w:type="character" w:customStyle="1" w:styleId="superscript">
    <w:name w:val="superscript"/>
    <w:uiPriority w:val="99"/>
    <w:rsid w:val="00F453AC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F453AC"/>
    <w:rPr>
      <w:rFonts w:ascii="HeliosCond" w:hAnsi="HeliosCond"/>
    </w:rPr>
  </w:style>
  <w:style w:type="character" w:customStyle="1" w:styleId="aff0">
    <w:name w:val="звездочка"/>
    <w:uiPriority w:val="99"/>
    <w:rsid w:val="00F453AC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F453AC"/>
  </w:style>
  <w:style w:type="character" w:customStyle="1" w:styleId="10">
    <w:name w:val="Стиль символа 1 (Вспомогательные)"/>
    <w:uiPriority w:val="99"/>
    <w:rsid w:val="00F453AC"/>
    <w:rPr>
      <w:rFonts w:ascii="Symbol" w:hAnsi="Symbol"/>
    </w:rPr>
  </w:style>
  <w:style w:type="character" w:customStyle="1" w:styleId="Bold1">
    <w:name w:val="Bold (Вспомогательные)"/>
    <w:uiPriority w:val="99"/>
    <w:rsid w:val="00F453AC"/>
    <w:rPr>
      <w:b/>
    </w:rPr>
  </w:style>
  <w:style w:type="character" w:customStyle="1" w:styleId="200">
    <w:name w:val="В р а з р я д к у 200 (Вспомогательные)"/>
    <w:uiPriority w:val="99"/>
    <w:rsid w:val="00F453AC"/>
  </w:style>
  <w:style w:type="character" w:customStyle="1" w:styleId="aff1">
    <w:name w:val="Широкий пробел (Вспомогательные)"/>
    <w:uiPriority w:val="99"/>
    <w:rsid w:val="00F453AC"/>
  </w:style>
  <w:style w:type="character" w:customStyle="1" w:styleId="aff2">
    <w:name w:val="Обычный пробел (Вспомогательные)"/>
    <w:uiPriority w:val="99"/>
    <w:rsid w:val="00F453AC"/>
  </w:style>
  <w:style w:type="character" w:customStyle="1" w:styleId="14pt">
    <w:name w:val="Отбивка 14pt (Вспомогательные)"/>
    <w:uiPriority w:val="99"/>
    <w:rsid w:val="00F453AC"/>
  </w:style>
  <w:style w:type="character" w:customStyle="1" w:styleId="UPPER">
    <w:name w:val="UPPER (Вспомогательные)"/>
    <w:uiPriority w:val="99"/>
    <w:rsid w:val="00F453AC"/>
    <w:rPr>
      <w:caps/>
    </w:rPr>
  </w:style>
  <w:style w:type="character" w:customStyle="1" w:styleId="Regular">
    <w:name w:val="Regular (Вспомогательные)"/>
    <w:uiPriority w:val="99"/>
    <w:rsid w:val="00F453AC"/>
  </w:style>
  <w:style w:type="character" w:customStyle="1" w:styleId="PragmaticaB">
    <w:name w:val="PragmaticaB"/>
    <w:uiPriority w:val="99"/>
    <w:rsid w:val="00F453AC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F453AC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F453AC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F453AC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F453AC"/>
    <w:rPr>
      <w:w w:val="120"/>
    </w:rPr>
  </w:style>
  <w:style w:type="character" w:customStyle="1" w:styleId="Sensetivecase">
    <w:name w:val="Sensetive case (Вспомогательные)"/>
    <w:uiPriority w:val="99"/>
    <w:rsid w:val="00F453AC"/>
  </w:style>
  <w:style w:type="character" w:customStyle="1" w:styleId="Italic">
    <w:name w:val="Italic (Вспомогательные)"/>
    <w:uiPriority w:val="99"/>
    <w:rsid w:val="00F453AC"/>
    <w:rPr>
      <w:i/>
    </w:rPr>
  </w:style>
  <w:style w:type="character" w:customStyle="1" w:styleId="CAPS">
    <w:name w:val="CAPS"/>
    <w:uiPriority w:val="99"/>
    <w:rsid w:val="00F453AC"/>
    <w:rPr>
      <w:caps/>
    </w:rPr>
  </w:style>
  <w:style w:type="character" w:customStyle="1" w:styleId="XXXX">
    <w:name w:val="XXXX"/>
    <w:uiPriority w:val="99"/>
    <w:rsid w:val="00F453AC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1272</Words>
  <Characters>7256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2023-05-05T08:32:00Z</dcterms:created>
  <dcterms:modified xsi:type="dcterms:W3CDTF">2023-05-05T13:28:00Z</dcterms:modified>
</cp:coreProperties>
</file>